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52" w:rsidRPr="004F4752" w:rsidRDefault="004F4752" w:rsidP="004F4752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</w:pPr>
      <w:r w:rsidRPr="004F4752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 xml:space="preserve">Рабочая программа элективного </w:t>
      </w:r>
      <w:r w:rsidR="005D294E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>курса по английскому языку для 4</w:t>
      </w:r>
      <w:r w:rsidRPr="004F4752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 xml:space="preserve"> класса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Данная рабочая программа для углубленного курса изучения английского языка к учебно-методическому комплекту для учащихся 2–4 классов общеобразовательных учреждений серии “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” составлена на основе: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Федерального закона от 29.12.2012 №273-ФЗ «Об образовании в Российской федерации»;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требований Федерального государственного образовательного стандарта начального общего образования к структуре образовательной программы (приказ Министерства образования и науки РФ от 6.10.2009 №373);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требований, изложенных в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hyperlink r:id="rId4" w:tgtFrame="_blank" w:history="1">
        <w:r w:rsidRPr="004F4752">
          <w:rPr>
            <w:rFonts w:ascii="Verdana" w:eastAsia="Times New Roman" w:hAnsi="Verdana" w:cs="Times New Roman"/>
            <w:color w:val="2C7BDE"/>
            <w:sz w:val="20"/>
            <w:u w:val="single"/>
          </w:rPr>
          <w:t>Примерной программе начального общего образования. – М: Просвещение, 2009 г.</w:t>
        </w:r>
      </w:hyperlink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Федерального перечня учебников, утвержденного приказом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Минобрнауки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РФ, рекомендованных (допущенных) к использованию в образовательном процессе в общеобразовательных учреждениях на 2014/2015 учебный год;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Приказа директора №247 от 30.08.2013 г. «О списке учебников на 2014-2015 учебный год» муниципального бюджетного образовательного учреждения муниципального образования «Город Архангельск» «Средняя общеобразовательная школа №45»;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авторской программы начального общего образования по английскому языку О.В. Афанасьевой, И.В. Михеевой,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Н. В. Языковой, Е. А. Колесниковой.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Согласно базисному учебному плану начального общего образования, изучение иностранного языка в общеобразовательных учреждениях Российской Федерации начинается во 2 классе. Введение предмета «Иностранный язык» в систему подготовки современного младшего школьника –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Данный УМК по английскому языку для общеобразовательных учреждений включает: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Учебник (в 2 частях)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Рабочую тетрадь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Книгу для учителя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Звуковое пособие (CD диск)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Данная рабочая программа разработана для дополнительного третьего часа английского языка в дополнение к 2м обязательным часам в неделю для более глубокого изучения языка.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Рабочая программа рассчитана на 34 учебных часа из расчета 1 час в неделю.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 авторскую программу начального общего образования по английскому языку О.В. Афанасьевой, И.В. Михеевой,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Н. В. Языковой, Е. А. Колесниковой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были внесены некоторые изменения и дополнения для более глубокого погружения в языковую среду.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II. Основное содержание обучения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Цели углублённого курса английского языка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Главной целью углубленного курса английского языка в начальной школе является более обширное покрытие тем изучения базового курса «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», и тем самым предотвращение боязни к новым буквам, звукам, словам, реалиям и привитие позитивного отношения к предмету. Немаловажным является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333333"/>
          <w:sz w:val="20"/>
          <w:szCs w:val="20"/>
        </w:rPr>
        <w:t>развитие у учащихся мотивации к изучению английского языка, формирование познавательных потребностей в открытии незнакомого им мира зарубежных ровесников.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Интегративной целью обучения английскому языку в учебном комплексе серии “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” является формирование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элементарной коммуникативной компетенции</w:t>
      </w:r>
      <w:r w:rsidRPr="004F4752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в совокупности пяти ее составляющих: речевой, языковой,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социокультурной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учебно-познавательной и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Воспитательная цель.</w:t>
      </w:r>
      <w:r w:rsidRPr="004F4752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В процессе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соизучения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языков и культур, общепринятых человеческих и базовых национальных ценностей, представленных в содержании учебника,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Образовательная цель.</w:t>
      </w:r>
      <w:r w:rsidRPr="004F4752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Развивающая цель</w:t>
      </w: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 w:rsidRPr="004F4752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Достижение поставленных целей осуществляется посредством реализации следующих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задач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подготовка ученика к контакту с другой культурой, адекватному поведению в условиях чуждой культуры во время уроков и во внеклассной работе, к свободному диалоговому общению;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формирование языкового чутья, которое позволит применять полученные знания творчески в коммуникативной деятельности;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333333"/>
          <w:sz w:val="20"/>
          <w:szCs w:val="20"/>
        </w:rPr>
        <w:t>развитие культуры речи, этикет общения (проигрывание межкультурных ситуаций, в ходе которых ученики выступают в роли представителей культуры страны изучаемого языка);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333333"/>
          <w:sz w:val="20"/>
          <w:szCs w:val="20"/>
        </w:rPr>
        <w:t>способность к творчеству на иностранном языке (Создание проектов).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333333"/>
          <w:sz w:val="20"/>
          <w:szCs w:val="20"/>
        </w:rPr>
        <w:lastRenderedPageBreak/>
        <w:t>Реализация поставленных задач на практике осуществляется благодаря использованию и совершенствованию новых технологий и современных методик, направленных на углубленное изучение иностранных языков, а также создание условий для творческой деятельности учащихся, как на уроках иностранного языка, так и во внеурочной деятельности и участия в школьных, районных и городских мероприятиях.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Основные методы и формы обучения.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При обучении английскому языку в начальной школе основными формами работы являются: коллективные, групповые, индивидуальные.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Использование игровых технологий, технологий личностно-ориентированного и дифференцированного обучения, информационно-коммуникационных технологий способствует формированию основных компетенций учащихся, развитию их познавательной активности.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Учебные ситуации (2 класс):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Знакомство, основные элементы речевого этикета (4 урока)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Мир вокруг меня (10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Сказки и праздники (1 урок)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Я и моя семья (7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Мир вокруг нас (5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На ферме (5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Мир увлечений. Досуг (2 урока)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Учебные ситуации (3 класс):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Что мы видим, и что мы имеем. (8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Что нам нравится. (8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Какой это цвет? (8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Сколько? (8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 днем рождения! (7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Какова твоя профессия? (7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Животные. (9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Времена года и месяцы. (13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Учебные ситуации (4 класс):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Познакомься с Джоном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Баркером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его семьей (4 урока)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Мой день (5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Мой дом (7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Я иду в школу (5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Мы любим еду (4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Погода (5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На выходных (5 уроков)</w:t>
      </w:r>
    </w:p>
    <w:p w:rsidR="004F4752" w:rsidRPr="004F4752" w:rsidRDefault="004F4752" w:rsidP="004F47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III. Результаты обучения английскому языку в начальной школе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Работа углублённого курса по УМК “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” способствует достижению следующих личностных,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метапредметных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предметных результатов.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Личностные результаты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Метапредметные</w:t>
      </w:r>
      <w:proofErr w:type="spellEnd"/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результаты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Деятельностный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характер освоения содержания учебно-методического комплекса “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” способствует достижению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метапредметных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результатов, то есть формированию универсальных учебных действий. Разделы учебника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Предметные результаты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аудировании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Речевая компетенция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Говорение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составлять небольшое описание предмета,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картинки,персонажа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рассказывать о себе, своей семье, друге;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кратко излагать содержание прочитанного текста.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Аудирование</w:t>
      </w:r>
      <w:proofErr w:type="spellEnd"/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невербально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реагировать на услышанное;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понимать основное содержание небольших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сообщений,рассказов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сказок в аудиозаписи, построенных в основном на знакомом языковом материале;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зрительные опоры при восприятии на слух текстов, содержащих незнакомые слова.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Чтение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соотносить графический образ английского слова с его звуковым образом;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находить в тексте необходимую информацию в процессе чтения.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Письмо и письменная речь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выписывать из теста слова, словосочетания и предложения;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 письменной форме кратко отвечать на вопросы к тексту;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писать поздравительную открытку (с опорой на образец);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писать по образцу краткое письмо зарубежному другу (с опорой на образец).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Языковая компетенция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Графика, каллиграфия, орфография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 начальной школы научится: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полупечатное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написание букв, буквосочетаний, слов); устанавливать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звуко-буквенные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соответствия;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пользоваться английским алфавитом, знать последовательность букв в нем;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списывать текст;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отличать буквы от знаков транскрипции; вычленять значок апострофа;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сравнивать и анализировать буквосочетания английского языка;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группировать слова в соответствии с изученными правилами чтения;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оформлять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орфографически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наиболее употребительные слова (активный словарь).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Фонетическая сторона речи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находить в тексте слова с заданным звуком;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вычленять дифтонги;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членить предложения на смысловые группы и интонационно оформлять их;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различать коммуникативные типы предложений по интонации;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соотносить изучаемые слова с их транскрипционным изображением.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Лексическая сторона речи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в речи элементы речевого этикета, отражающие культуру страны изучаемого языка;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узнавать простые словообразовательные деривационные элементы (суффиксы: -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er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-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teen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-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y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-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ty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-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-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ful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), префиксы -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un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узнавать сложные слова, определять значение незнакомых сложных слов по значению составляющих их основ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bedroom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apple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tree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etc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узнавать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конверсивы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выводить их значение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chocolate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chocolate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cake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опираться на языковую догадку в процессе чтения и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аудирования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Грамматическая сторона речи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 научится: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оперировать вопросительными словами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who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what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when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where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why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how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) в продуктивных видах речевой деятельности (говорении и письме);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оперировать в речи отрицательными предложениями;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формулировать простые (нераспространенные и распространенные) предложения, предложения с однородными членами, сложноподчиненные предложения; оперировать в речи сказуемыми разного типа — а) простым глагольным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He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reads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); б) составным именным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He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is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a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pupil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.); составным глагольным (I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can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swim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like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swim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.);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оперировать в речи безличными предложениями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It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is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spring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.);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образовывать формы единственного и множественного числа существительных, включая случаи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man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men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woman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women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mouse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mice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fish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fish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deer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deer,sheep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sheep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goose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geese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в речи притяжательный падеж имен существительных;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good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better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best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bad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worse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—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worst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выражать коммуникативные намерения с использованием грамматических форм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presentsimple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future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simple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past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simple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(включая правильные и неправильные глаголы) — оборота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be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going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 конструкции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there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is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there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are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, конструкции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I’d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like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... модальных глаголов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can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must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использовать вспомогательные глаголы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be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do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для построения необходимых вопросительных, отрицательных конструкций;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оперировать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речи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наречиями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времени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(always, often,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sometimes,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never,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usually,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yesterday,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tomorrow),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степени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образа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действия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(very,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well,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badly,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much,</w:t>
      </w:r>
      <w:r w:rsidRPr="004F475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little);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by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at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behind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in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front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of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with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from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of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into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в речи личные, указательные, притяжательные и некоторые неопределенные местоимения.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Социокультурная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компетенция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межкультурного общения. Младшие школьники учатся представлять свою культуру посредством изучаемого иностранного языка.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Компенсаторная компетенция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Учебно-познавательная компетенция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пользоваться двуязычным словарем учебника (в том числе транскрипцией);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пользоваться справочными материалами, представленными в виде таблиц, схем и правил;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вести словарь для записи новых слов;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систематизировать слова по тематическому принципу;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извлекать нужную информацию из текста на основе имеющейся коммуникативной задачи.</w:t>
      </w:r>
    </w:p>
    <w:p w:rsidR="004F4752" w:rsidRPr="004F4752" w:rsidRDefault="004F4752" w:rsidP="004F47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Тематическое планирование для 2 класса (углубленное изучение)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1081"/>
        <w:gridCol w:w="1982"/>
        <w:gridCol w:w="4583"/>
      </w:tblGrid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4F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ситуация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spellStart"/>
            <w:r w:rsidRPr="004F4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8A019D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Джона 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8A019D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</w:t>
            </w:r>
            <w:r w:rsidR="005D2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новой лексикой 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5D294E" w:rsidRDefault="008A019D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Вопросительные предложения в </w:t>
            </w:r>
            <w:r w:rsidR="005D29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5D294E" w:rsidRPr="005D2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29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5D294E" w:rsidRPr="005D2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5D294E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Знакомство со схемой построения вопросительного предложения в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present</w:t>
            </w:r>
            <w:r w:rsidRPr="005D294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simple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Притяжательный падеж имен существительных 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правилом 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Притяжательный падеж имен существительных со словами-исключениями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1224D6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</w:t>
            </w:r>
            <w:r w:rsidR="005D2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со словами исключения 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Повседневные занятия членов семьи 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Новая лексика 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5D294E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94E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Present Simple and Present Progressive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в семье Джона 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Отрицательные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 xml:space="preserve">предложения в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Present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Progressive</w:t>
            </w:r>
            <w:proofErr w:type="spellEnd"/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5D294E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Ведение отрицательного предложения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РР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дела?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мини-диалог с другом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ты родом?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несколько мини-диалогов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5 предложений с однородными членами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цветов в радуге?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цвета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описать писать внешность друга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Я не согласен!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5 отрицательных предложений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Задай вопрос правильно (</w:t>
            </w:r>
            <w:proofErr w:type="spellStart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6 вопросов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рассказ о членах своей семьи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урок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открытку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друга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рассказ о семье друга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урок: английский артикль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Вставить артикли в текст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Потанцуй со мной!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песню с движениями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Родословное дерево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свое родословное дерево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Английские города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названия английских городов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урок: глагол </w:t>
            </w:r>
            <w:proofErr w:type="spellStart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и исправить ошибки в предложениях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пересказу на основе текста «На пруду»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пересказ по тексту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Раз-два-три-четыре</w:t>
            </w:r>
            <w:proofErr w:type="spellEnd"/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числительные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монологической речи на основе текста «Рекс»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устный рассказ про Рекса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Множественное число. «Что в корзинке?»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что лежит в корзинке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Моё хобби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рассказ о своем хобби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Где игрушки?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Рассказать, где находятся игрушки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любимый </w:t>
            </w: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фрукт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Описать свой любимый фрукт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говорят часы?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 (п.)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день из моей жизни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рассказ про свой день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КВН по теме «Режим дня»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диалогической речи на основе текста «Том и Джейн»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диалог</w:t>
            </w:r>
          </w:p>
        </w:tc>
      </w:tr>
      <w:tr w:rsidR="004F4752" w:rsidRPr="004F4752" w:rsidTr="001224D6">
        <w:trPr>
          <w:tblCellSpacing w:w="15" w:type="dxa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монологической речи на тему «Моё лето»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52" w:rsidRPr="004F4752" w:rsidRDefault="004F4752" w:rsidP="004F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52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задано</w:t>
            </w:r>
          </w:p>
        </w:tc>
      </w:tr>
    </w:tbl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4F4752" w:rsidRPr="004F4752" w:rsidRDefault="004F4752" w:rsidP="004F47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Список использованной литературы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Федеральный закон от 29.12.2012 №273-ФЗ «Об образовании в Российской федерации»;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Федеральный государственный образовательный стандарт начального общего образования к структуре образовательной программы(приказ Министерства образования и науки РФ от 6.10.2009 №373);</w:t>
      </w:r>
    </w:p>
    <w:p w:rsidR="004F4752" w:rsidRPr="004F4752" w:rsidRDefault="006538F7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5" w:tgtFrame="_blank" w:history="1">
        <w:r w:rsidR="004F4752" w:rsidRPr="004F4752">
          <w:rPr>
            <w:rFonts w:ascii="Verdana" w:eastAsia="Times New Roman" w:hAnsi="Verdana" w:cs="Times New Roman"/>
            <w:color w:val="2C7BDE"/>
            <w:sz w:val="20"/>
            <w:u w:val="single"/>
          </w:rPr>
          <w:t>Примерная программа начального общего образования. – М: Просвещение, 2009 г.</w:t>
        </w:r>
      </w:hyperlink>
      <w:r w:rsidR="004F4752" w:rsidRPr="004F4752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Федеральный перечень учебников, утвержденный приказом 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Минобрнауки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 xml:space="preserve"> РФ, рекомендованных (допущенных) к использованию в образовательном процессе в общеобразовательных учреждениях на 2014/2015 учебный год;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Приказ директора №247 от 30.08.2014 г. «О списке учебников на 2014-2015 учебный год» муниципального бюджетного образовательного учреждения муниципального образования «Город Архангельск» «Средняя общеобразовательная школа №45»;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Авторская программа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начального общего образования по английскому языку О.В. Афанасьевой, И.В. Михеевой,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Н. В. Языковой, Е. А. Колесниковой. М: «Дрофа»,</w:t>
      </w:r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2011 г.;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Учебник «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» для 2 класса (1-й год обучения), О.В. Афанасьева, И.В. Михеева. – М: Дрофа, 2011 г.;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Учебник «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» для 3 класса (2-й год обучения), О.В. Афанасьева, И.В. Михеева. – М: Дрофа, 2013 г.;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Учебник «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Rainbow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</w:rPr>
        <w:t> </w:t>
      </w:r>
      <w:proofErr w:type="spellStart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» для 4 класса (3-й год обучения), О.В. Афанасьева, И.В. Михеева. – М: Дрофа, 2013 г.;</w:t>
      </w:r>
    </w:p>
    <w:p w:rsidR="004F4752" w:rsidRPr="004F4752" w:rsidRDefault="004F4752" w:rsidP="004F47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F4752" w:rsidRPr="004F4752" w:rsidRDefault="004F4752" w:rsidP="004F4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F4752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br/>
        <w:t> </w:t>
      </w:r>
    </w:p>
    <w:p w:rsidR="00837F53" w:rsidRDefault="00837F53"/>
    <w:sectPr w:rsidR="00837F53" w:rsidSect="0065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F4752"/>
    <w:rsid w:val="001224D6"/>
    <w:rsid w:val="002959AA"/>
    <w:rsid w:val="004F4752"/>
    <w:rsid w:val="005D294E"/>
    <w:rsid w:val="006538F7"/>
    <w:rsid w:val="007C53CA"/>
    <w:rsid w:val="00837F53"/>
    <w:rsid w:val="008A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F7"/>
  </w:style>
  <w:style w:type="paragraph" w:styleId="1">
    <w:name w:val="heading 1"/>
    <w:basedOn w:val="a"/>
    <w:link w:val="10"/>
    <w:uiPriority w:val="9"/>
    <w:qFormat/>
    <w:rsid w:val="004F4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7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F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4752"/>
  </w:style>
  <w:style w:type="character" w:styleId="a4">
    <w:name w:val="Hyperlink"/>
    <w:basedOn w:val="a0"/>
    <w:uiPriority w:val="99"/>
    <w:semiHidden/>
    <w:unhideWhenUsed/>
    <w:rsid w:val="004F47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4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dow.edu.ru/resource/623/70623" TargetMode="External"/><Relationship Id="rId4" Type="http://schemas.openxmlformats.org/officeDocument/2006/relationships/hyperlink" Target="http://window.edu.ru/resource/623/70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Suleyman</cp:lastModifiedBy>
  <cp:revision>4</cp:revision>
  <cp:lastPrinted>2018-10-01T05:04:00Z</cp:lastPrinted>
  <dcterms:created xsi:type="dcterms:W3CDTF">2018-10-01T03:38:00Z</dcterms:created>
  <dcterms:modified xsi:type="dcterms:W3CDTF">2018-10-01T05:06:00Z</dcterms:modified>
</cp:coreProperties>
</file>